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du="http://schemas.microsoft.com/office/word/2023/wordml/word16du" mc:Ignorable="w14 w15 wp14 w16se w16cid w16 w16cex w16sdtdh">
  <w:body>
    <w:p xmlns:wp14="http://schemas.microsoft.com/office/word/2010/wordml" w:rsidP="54EAD274" wp14:paraId="46F0D9E9" wp14:textId="1D23E31A">
      <w:pPr>
        <w:spacing w:after="160" w:line="259" w:lineRule="auto"/>
        <w:jc w:val="both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4EAD274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Senate Executive Committee Meeting (0</w:t>
      </w:r>
      <w:r w:rsidRPr="54EAD274" w:rsidR="04B86A6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9</w:t>
      </w:r>
      <w:r w:rsidRPr="54EAD274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</w:t>
      </w:r>
      <w:r w:rsidRPr="54EAD274" w:rsidR="2CD239D3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r w:rsidRPr="54EAD274" w:rsidR="451A7ADA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7</w:t>
      </w:r>
      <w:r w:rsidRPr="54EAD274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/2024)</w:t>
      </w:r>
    </w:p>
    <w:p w:rsidR="20F3C10A" w:rsidP="5B9F49F2" w:rsidRDefault="20F3C10A" w14:paraId="320E8CFD" w14:textId="3C7EA795">
      <w:pPr>
        <w:pStyle w:val="Normal"/>
        <w:suppressLineNumbers w:val="0"/>
        <w:bidi w:val="0"/>
        <w:spacing w:before="240" w:beforeAutospacing="off" w:after="160" w:afterAutospacing="off" w:line="259" w:lineRule="auto"/>
        <w:ind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9F49F2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Attendees</w:t>
      </w:r>
      <w:r w:rsidRPr="5B9F49F2" w:rsidR="033A10E9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5B9F49F2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5B9F49F2" w:rsidR="2134262D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Sarah Senk (Chair), </w:t>
      </w:r>
      <w:r w:rsidRPr="5B9F49F2" w:rsidR="5970755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Taiyo Inoue (Vice Chair), </w:t>
      </w:r>
      <w:r w:rsidRPr="5B9F49F2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Ariel </w:t>
      </w:r>
      <w:r w:rsidRPr="5B9F49F2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Setniker</w:t>
      </w:r>
      <w:r w:rsidRPr="5B9F49F2" w:rsidR="033A10E9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(Secretary), </w:t>
      </w:r>
      <w:r w:rsidRPr="5B9F49F2" w:rsidR="1F8D4DE4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Christine Isakson, Julie Chisholm, Maggie Ward, Keir Moorhead</w:t>
      </w:r>
      <w:r w:rsidRPr="5B9F49F2" w:rsidR="438D4EF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Executive Dean Dinesh </w:t>
      </w:r>
      <w:r w:rsidRPr="5B9F49F2" w:rsidR="438D4EF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Pinisetty</w:t>
      </w:r>
      <w:r w:rsidRPr="5B9F49F2" w:rsidR="1762AF7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762AF70" w:rsidP="5B9F49F2" w:rsidRDefault="1762AF70" w14:paraId="446358A0" w14:textId="724C1961">
      <w:pPr>
        <w:pStyle w:val="Normal"/>
        <w:spacing w:before="240" w:beforeAutospacing="off" w:after="160" w:afterAutospacing="off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9F49F2" w:rsidR="1762AF7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</w:t>
      </w:r>
      <w:r w:rsidRPr="5B9F49F2" w:rsidR="1762AF70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5B9F49F2" w:rsidR="1762AF70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w:rsidR="20F3C10A" w:rsidP="5B9F49F2" w:rsidRDefault="20F3C10A" w14:paraId="5957A0AF" w14:textId="4AC615CE">
      <w:pPr>
        <w:pStyle w:val="Normal"/>
        <w:suppressLineNumbers w:val="0"/>
        <w:spacing w:before="0" w:beforeAutospacing="off" w:after="160" w:afterAutospacing="off" w:line="259" w:lineRule="auto"/>
        <w:ind w:left="0" w:right="0" w:hanging="0"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</w:p>
    <w:p w:rsidR="2B5CC846" w:rsidP="20F3C10A" w:rsidRDefault="2B5CC846" w14:paraId="616ADD3E" w14:textId="60F78888">
      <w:pPr>
        <w:pStyle w:val="Normal"/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2B5CC846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Shared Governance Working Group Update (Senk)</w:t>
      </w:r>
    </w:p>
    <w:p w:rsidR="2B5CC846" w:rsidP="20F3C10A" w:rsidRDefault="2B5CC846" w14:paraId="42499B55" w14:textId="53AE00BF">
      <w:pPr>
        <w:pStyle w:val="ListParagraph"/>
        <w:numPr>
          <w:ilvl w:val="0"/>
          <w:numId w:val="24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2B5CC8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Senk served on Chancellor’s Office Shared Governance Workgroup since mid-August (with </w:t>
      </w:r>
      <w:r w:rsidRPr="20F3C10A" w:rsidR="2B5CC8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McNie</w:t>
      </w:r>
      <w:r w:rsidRPr="20F3C10A" w:rsidR="2B5CC8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Tsai, Dewey)</w:t>
      </w:r>
    </w:p>
    <w:p w:rsidR="2B5CC846" w:rsidP="20F3C10A" w:rsidRDefault="2B5CC846" w14:paraId="06FD7052" w14:textId="37897071">
      <w:pPr>
        <w:pStyle w:val="ListParagraph"/>
        <w:numPr>
          <w:ilvl w:val="0"/>
          <w:numId w:val="24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2B5CC8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Workgroup Identified High-Priority Areas for Integration</w:t>
      </w:r>
    </w:p>
    <w:p w:rsidR="2B5CC846" w:rsidP="20F3C10A" w:rsidRDefault="2B5CC846" w14:paraId="356761A5" w14:textId="29313911">
      <w:pPr>
        <w:pStyle w:val="ListParagraph"/>
        <w:numPr>
          <w:ilvl w:val="1"/>
          <w:numId w:val="24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2B5CC8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Curriculum alignment: Aligning academic offerings, navigating Cal Poly’s semester transition, and considering a two-volume catalog model.</w:t>
      </w:r>
    </w:p>
    <w:p w:rsidR="2B5CC846" w:rsidP="20F3C10A" w:rsidRDefault="2B5CC846" w14:paraId="27952DCC" w14:textId="26369246">
      <w:pPr>
        <w:pStyle w:val="ListParagraph"/>
        <w:numPr>
          <w:ilvl w:val="1"/>
          <w:numId w:val="24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2B5CC8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Governance structure: Examining the integration of the academic senates and representation structures, including possible Maritime caucuses.</w:t>
      </w:r>
    </w:p>
    <w:p w:rsidR="2B5CC846" w:rsidP="20F3C10A" w:rsidRDefault="2B5CC846" w14:paraId="3E810FA8" w14:textId="3E16C49A">
      <w:pPr>
        <w:pStyle w:val="ListParagraph"/>
        <w:numPr>
          <w:ilvl w:val="1"/>
          <w:numId w:val="24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2B5CC8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Operational complexities: Planning shared facility usage (e.g., simulators, training vessels) and coordinating calendar operations.</w:t>
      </w:r>
    </w:p>
    <w:p w:rsidR="2B5CC846" w:rsidP="20F3C10A" w:rsidRDefault="2B5CC846" w14:paraId="1D5B49AA" w14:textId="75FCD216">
      <w:pPr>
        <w:pStyle w:val="ListParagraph"/>
        <w:numPr>
          <w:ilvl w:val="1"/>
          <w:numId w:val="24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2B5CC8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License programs: Ensuring MARAD, USCG, and other certification continuity.</w:t>
      </w:r>
    </w:p>
    <w:p w:rsidR="2B5CC846" w:rsidP="20F3C10A" w:rsidRDefault="2B5CC846" w14:paraId="6974FF48" w14:textId="05682957">
      <w:pPr>
        <w:pStyle w:val="ListParagraph"/>
        <w:numPr>
          <w:ilvl w:val="1"/>
          <w:numId w:val="24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2B5CC8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parity: Addressing disparities in retention, promotion, and tenure processes.</w:t>
      </w:r>
    </w:p>
    <w:p w:rsidR="2B5CC846" w:rsidP="20F3C10A" w:rsidRDefault="2B5CC846" w14:paraId="5BA6768B" w14:textId="1F26C218">
      <w:pPr>
        <w:pStyle w:val="ListParagraph"/>
        <w:numPr>
          <w:ilvl w:val="1"/>
          <w:numId w:val="24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2B5CC8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Accreditation: Ensuring continuity of accreditation standards during integration.</w:t>
      </w:r>
    </w:p>
    <w:p w:rsidR="2B5CC846" w:rsidP="20F3C10A" w:rsidRDefault="2B5CC846" w14:paraId="6C626995" w14:textId="2EB02AC3">
      <w:pPr>
        <w:pStyle w:val="ListParagraph"/>
        <w:numPr>
          <w:ilvl w:val="1"/>
          <w:numId w:val="24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2B5CC8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Financial/logistical support: Advocating for faculty travel funds, weighted teaching units, and logistical support.</w:t>
      </w:r>
    </w:p>
    <w:p w:rsidR="2B5CC846" w:rsidP="20F3C10A" w:rsidRDefault="2B5CC846" w14:paraId="498A6913" w14:textId="4C01177B">
      <w:pPr>
        <w:pStyle w:val="ListParagraph"/>
        <w:numPr>
          <w:ilvl w:val="1"/>
          <w:numId w:val="24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2B5CC8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Intersection of Issues</w:t>
      </w:r>
    </w:p>
    <w:p w:rsidR="2B5CC846" w:rsidP="20F3C10A" w:rsidRDefault="2B5CC846" w14:paraId="78576B0A" w14:textId="38B8FD3C">
      <w:pPr>
        <w:pStyle w:val="ListParagraph"/>
        <w:numPr>
          <w:ilvl w:val="2"/>
          <w:numId w:val="24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2B5CC8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Acknowledged the interconnected nature of the identified issues, with decisions in one area potentially </w:t>
      </w:r>
      <w:r w:rsidRPr="20F3C10A" w:rsidR="2B5CC8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impacting</w:t>
      </w:r>
      <w:r w:rsidRPr="20F3C10A" w:rsidR="2B5CC8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others (e.g., curriculum changes affecting scheduling, facilities, and personnel).</w:t>
      </w:r>
    </w:p>
    <w:p w:rsidR="2B5CC846" w:rsidP="20F3C10A" w:rsidRDefault="2B5CC846" w14:paraId="37973A6A" w14:textId="3008C590">
      <w:pPr>
        <w:pStyle w:val="ListParagraph"/>
        <w:numPr>
          <w:ilvl w:val="2"/>
          <w:numId w:val="24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2B5CC846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Emphasized the importance of faculty involvement to preempt and mitigate potential challenges.</w:t>
      </w:r>
    </w:p>
    <w:p w:rsidR="7F7894C5" w:rsidP="20F3C10A" w:rsidRDefault="7F7894C5" w14:paraId="05EA6DEF" w14:textId="03BEA94D">
      <w:pPr>
        <w:pStyle w:val="Normal"/>
        <w:spacing w:after="160" w:line="259" w:lineRule="auto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 of Emergency Senate Meeting</w:t>
      </w:r>
    </w:p>
    <w:p w:rsidR="7F7894C5" w:rsidP="20F3C10A" w:rsidRDefault="7F7894C5" w14:paraId="261D3DEC" w14:textId="5C99F979">
      <w:pPr>
        <w:pStyle w:val="ListParagraph"/>
        <w:numPr>
          <w:ilvl w:val="0"/>
          <w:numId w:val="19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Acknowledgement of Uncertainty in Integration Proces</w:t>
      </w:r>
    </w:p>
    <w:p w:rsidR="7F7894C5" w:rsidP="20F3C10A" w:rsidRDefault="7F7894C5" w14:paraId="1BEB1A4B" w14:textId="026195C0">
      <w:pPr>
        <w:pStyle w:val="ListParagraph"/>
        <w:numPr>
          <w:ilvl w:val="1"/>
          <w:numId w:val="19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 opened with acknowledgment of concerns regarding the lack of clarity around the integration with Cal Poly.</w:t>
      </w:r>
    </w:p>
    <w:p w:rsidR="7F7894C5" w:rsidP="20F3C10A" w:rsidRDefault="7F7894C5" w14:paraId="035D6098" w14:textId="79544EDE">
      <w:pPr>
        <w:pStyle w:val="ListParagraph"/>
        <w:numPr>
          <w:ilvl w:val="1"/>
          <w:numId w:val="19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Emphasized that waiting for complete information before planning could hinder progress and that proactive planning could influence the resources and structure of the integration.</w:t>
      </w:r>
    </w:p>
    <w:p w:rsidR="7F7894C5" w:rsidP="20F3C10A" w:rsidRDefault="7F7894C5" w14:paraId="1E1B9B44" w14:textId="3D1695D6">
      <w:pPr>
        <w:pStyle w:val="ListParagraph"/>
        <w:numPr>
          <w:ilvl w:val="0"/>
          <w:numId w:val="20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Importance of Proactive Planning</w:t>
      </w:r>
    </w:p>
    <w:p w:rsidR="7F7894C5" w:rsidP="20F3C10A" w:rsidRDefault="7F7894C5" w14:paraId="6F54D617" w14:textId="54672935">
      <w:pPr>
        <w:pStyle w:val="ListParagraph"/>
        <w:numPr>
          <w:ilvl w:val="1"/>
          <w:numId w:val="20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Comparison drawn to course design: without planning for potential technological resources from the outset, opportunities for advocacy and upgrades may be missed.</w:t>
      </w:r>
    </w:p>
    <w:p w:rsidR="7F7894C5" w:rsidP="20F3C10A" w:rsidRDefault="7F7894C5" w14:paraId="45111DAE" w14:textId="7A6E06DF">
      <w:pPr>
        <w:pStyle w:val="ListParagraph"/>
        <w:numPr>
          <w:ilvl w:val="1"/>
          <w:numId w:val="20"/>
        </w:numPr>
        <w:spacing w:after="160" w:line="259" w:lineRule="auto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Advocated for defining growth goals and necessary resources now to ensure the institution’s needs are met in the integration process.</w:t>
      </w:r>
    </w:p>
    <w:p w:rsidR="7F7894C5" w:rsidP="20F3C10A" w:rsidRDefault="7F7894C5" w14:paraId="0470DFCB" w14:textId="6187748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hanging="0"/>
        <w:jc w:val="left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Key Questions for Integration and Growth</w:t>
      </w:r>
    </w:p>
    <w:p w:rsidR="7F7894C5" w:rsidP="20F3C10A" w:rsidRDefault="7F7894C5" w14:paraId="00AD10AA" w14:textId="736DF9DF">
      <w:pPr>
        <w:pStyle w:val="ListParagraph"/>
        <w:numPr>
          <w:ilvl w:val="0"/>
          <w:numId w:val="2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Guiding Questions</w:t>
      </w:r>
    </w:p>
    <w:p w:rsidR="7F7894C5" w:rsidP="20F3C10A" w:rsidRDefault="7F7894C5" w14:paraId="7F3855AB" w14:textId="41E7FA33">
      <w:pPr>
        <w:pStyle w:val="ListParagraph"/>
        <w:numPr>
          <w:ilvl w:val="1"/>
          <w:numId w:val="2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Discussed areas requiring focus to maximize opportunities through the integration:</w:t>
      </w:r>
    </w:p>
    <w:p w:rsidR="7F7894C5" w:rsidP="20F3C10A" w:rsidRDefault="7F7894C5" w14:paraId="66458C49" w14:textId="195674EB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Curriculum design and its alignment with Cal Poly.</w:t>
      </w:r>
    </w:p>
    <w:p w:rsidR="7F7894C5" w:rsidP="20F3C10A" w:rsidRDefault="7F7894C5" w14:paraId="12BB3B6C" w14:textId="2096DB00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Optimal use of the Vallejo campus and resources.</w:t>
      </w:r>
    </w:p>
    <w:p w:rsidR="7F7894C5" w:rsidP="20F3C10A" w:rsidRDefault="7F7894C5" w14:paraId="6EB7BB5B" w14:textId="2D06F83B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Strategies for growth</w:t>
      </w:r>
      <w:r w:rsidRPr="20F3C10A" w:rsidR="1D3994E6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 xml:space="preserve"> in major programs. </w:t>
      </w:r>
    </w:p>
    <w:p w:rsidR="7F7894C5" w:rsidP="20F3C10A" w:rsidRDefault="7F7894C5" w14:paraId="0B49B5FA" w14:textId="7B53D6A0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 xml:space="preserve">Utilizing the new ship effectively, </w:t>
      </w: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possibly as</w:t>
      </w: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 xml:space="preserve"> a “floating lab.”</w:t>
      </w:r>
    </w:p>
    <w:p w:rsidR="7F7894C5" w:rsidP="20F3C10A" w:rsidRDefault="7F7894C5" w14:paraId="335695E8" w14:textId="7278956F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Differentiating degree programs for applicants and ensuring complementary programs between Cal Poly and Cal Maritime.</w:t>
      </w:r>
    </w:p>
    <w:p w:rsidR="7F7894C5" w:rsidP="20F3C10A" w:rsidRDefault="7F7894C5" w14:paraId="078BB5F5" w14:textId="67CADC05">
      <w:pPr>
        <w:pStyle w:val="ListParagraph"/>
        <w:numPr>
          <w:ilvl w:val="2"/>
          <w:numId w:val="2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Potential for faculty exchanges and increased international student opportunities.</w:t>
      </w:r>
    </w:p>
    <w:p w:rsidR="7F7894C5" w:rsidP="20F3C10A" w:rsidRDefault="7F7894C5" w14:paraId="38A36591" w14:textId="3B20F45F">
      <w:pPr>
        <w:pStyle w:val="ListParagraph"/>
        <w:numPr>
          <w:ilvl w:val="0"/>
          <w:numId w:val="2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Immediate Priorities and Long-Term Planning</w:t>
      </w:r>
    </w:p>
    <w:p w:rsidR="7F7894C5" w:rsidP="20F3C10A" w:rsidRDefault="7F7894C5" w14:paraId="4E3B8905" w14:textId="6EDC0CB8">
      <w:pPr>
        <w:pStyle w:val="ListParagraph"/>
        <w:numPr>
          <w:ilvl w:val="1"/>
          <w:numId w:val="2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Priority Issues for the Coming Year</w:t>
      </w:r>
    </w:p>
    <w:p w:rsidR="7F7894C5" w:rsidP="20F3C10A" w:rsidRDefault="7F7894C5" w14:paraId="7F1058BC" w14:textId="7CB922F3">
      <w:pPr>
        <w:pStyle w:val="ListParagraph"/>
        <w:numPr>
          <w:ilvl w:val="1"/>
          <w:numId w:val="2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Identified immediate actions:</w:t>
      </w:r>
    </w:p>
    <w:p w:rsidR="7F7894C5" w:rsidP="20F3C10A" w:rsidRDefault="7F7894C5" w14:paraId="2C288578" w14:textId="4DFC8EFE">
      <w:pPr>
        <w:pStyle w:val="ListParagraph"/>
        <w:numPr>
          <w:ilvl w:val="1"/>
          <w:numId w:val="22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Policy review and comparison to identify integration challenges.</w:t>
      </w:r>
    </w:p>
    <w:p w:rsidR="7F7894C5" w:rsidP="20F3C10A" w:rsidRDefault="7F7894C5" w14:paraId="08456CBC" w14:textId="70FC7AD2">
      <w:pPr>
        <w:pStyle w:val="ListParagraph"/>
        <w:numPr>
          <w:ilvl w:val="1"/>
          <w:numId w:val="22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Adjusting curriculum in anticipation of new facilities, including the new ship.</w:t>
      </w:r>
    </w:p>
    <w:p w:rsidR="7F7894C5" w:rsidP="20F3C10A" w:rsidRDefault="7F7894C5" w14:paraId="1482F8E5" w14:textId="33D28D80">
      <w:pPr>
        <w:pStyle w:val="ListParagraph"/>
        <w:numPr>
          <w:ilvl w:val="1"/>
          <w:numId w:val="22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Addressing faculty participation in summer sea terms.</w:t>
      </w:r>
    </w:p>
    <w:p w:rsidR="7F7894C5" w:rsidP="20F3C10A" w:rsidRDefault="7F7894C5" w14:paraId="783D9DDC" w14:textId="273F815D">
      <w:pPr>
        <w:pStyle w:val="ListParagraph"/>
        <w:numPr>
          <w:ilvl w:val="1"/>
          <w:numId w:val="22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Drafting a resolution on faculty mobility between Cal Poly and Cal Maritime.</w:t>
      </w:r>
    </w:p>
    <w:p w:rsidR="7F7894C5" w:rsidP="20F3C10A" w:rsidRDefault="7F7894C5" w14:paraId="1161A1B6" w14:textId="36490D5E">
      <w:pPr>
        <w:pStyle w:val="ListParagraph"/>
        <w:numPr>
          <w:ilvl w:val="1"/>
          <w:numId w:val="22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</w:pPr>
      <w:r w:rsidRPr="20F3C10A" w:rsidR="7F7894C5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n-US"/>
        </w:rPr>
        <w:t>Proposed sharing the Shared Governance Working Group report for educational purposes and to foster consensus.</w:t>
      </w:r>
    </w:p>
    <w:p w:rsidR="71EAF6A0" w:rsidP="54EAD274" w:rsidRDefault="71EAF6A0" w14:paraId="12366D7C" w14:textId="6DC490DB">
      <w:pPr>
        <w:pStyle w:val="Normal"/>
        <w:suppressLineNumbers w:val="0"/>
        <w:spacing w:before="240" w:beforeAutospacing="off" w:after="240" w:afterAutospacing="off" w:line="279" w:lineRule="auto"/>
        <w:ind w:left="0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54EAD274" w:rsidR="4563078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Streamlining Processes</w:t>
      </w:r>
    </w:p>
    <w:p w:rsidR="71EAF6A0" w:rsidP="54EAD274" w:rsidRDefault="71EAF6A0" w14:paraId="3D0FA993" w14:textId="0324C998">
      <w:pPr>
        <w:pStyle w:val="ListParagraph"/>
        <w:numPr>
          <w:ilvl w:val="0"/>
          <w:numId w:val="16"/>
        </w:numPr>
        <w:suppressLineNumbers w:val="0"/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4EAD274" w:rsidR="4563078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committee discussed reviewing current workflows to </w:t>
      </w:r>
      <w:r w:rsidRPr="54EAD274" w:rsidR="45630789">
        <w:rPr>
          <w:rFonts w:ascii="Garamond" w:hAnsi="Garamond" w:eastAsia="Garamond" w:cs="Garamond"/>
          <w:noProof w:val="0"/>
          <w:sz w:val="24"/>
          <w:szCs w:val="24"/>
          <w:lang w:val="en-US"/>
        </w:rPr>
        <w:t>identify</w:t>
      </w:r>
      <w:r w:rsidRPr="54EAD274" w:rsidR="4563078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tasks that could be simplified or automated. Specific areas mentioned included document sharing, meeting preparation, and follow-up actions.</w:t>
      </w:r>
    </w:p>
    <w:p w:rsidR="71EAF6A0" w:rsidP="54EAD274" w:rsidRDefault="71EAF6A0" w14:paraId="53C4C4BB" w14:textId="759C1615">
      <w:pPr>
        <w:pStyle w:val="ListParagraph"/>
        <w:numPr>
          <w:ilvl w:val="0"/>
          <w:numId w:val="16"/>
        </w:numPr>
        <w:suppressLineNumbers w:val="0"/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4EAD274" w:rsidR="45630789">
        <w:rPr>
          <w:rFonts w:ascii="Garamond" w:hAnsi="Garamond" w:eastAsia="Garamond" w:cs="Garamond"/>
          <w:noProof w:val="0"/>
          <w:sz w:val="24"/>
          <w:szCs w:val="24"/>
          <w:lang w:val="en-US"/>
        </w:rPr>
        <w:t>It was decided that a list of processes to review would be compiled, with further discussions planned to outline actions. The committee will collaborate with administrative units on any proposed changes.</w:t>
      </w:r>
    </w:p>
    <w:p w:rsidR="71EAF6A0" w:rsidP="54EAD274" w:rsidRDefault="71EAF6A0" w14:paraId="3374882C" w14:textId="549E5D77">
      <w:pPr>
        <w:pStyle w:val="Normal"/>
        <w:suppressLineNumbers w:val="0"/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</w:p>
    <w:p w:rsidR="71EAF6A0" w:rsidP="54EAD274" w:rsidRDefault="71EAF6A0" w14:paraId="526B9B4C" w14:textId="3C7AB23E">
      <w:pPr>
        <w:pStyle w:val="Normal"/>
        <w:suppressLineNumbers w:val="0"/>
        <w:spacing w:before="240" w:beforeAutospacing="off" w:after="240" w:afterAutospacing="off" w:line="279" w:lineRule="auto"/>
        <w:ind w:left="0"/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</w:pPr>
      <w:r w:rsidRPr="54EAD274" w:rsidR="45630789">
        <w:rPr>
          <w:rFonts w:ascii="Garamond" w:hAnsi="Garamond" w:eastAsia="Garamond" w:cs="Garamond"/>
          <w:b w:val="1"/>
          <w:bCs w:val="1"/>
          <w:noProof w:val="0"/>
          <w:sz w:val="24"/>
          <w:szCs w:val="24"/>
          <w:lang w:val="en-US"/>
        </w:rPr>
        <w:t>Board Communications</w:t>
      </w:r>
    </w:p>
    <w:p w:rsidR="71EAF6A0" w:rsidP="54EAD274" w:rsidRDefault="71EAF6A0" w14:paraId="0A928461" w14:textId="2162F84C">
      <w:pPr>
        <w:pStyle w:val="ListParagraph"/>
        <w:numPr>
          <w:ilvl w:val="0"/>
          <w:numId w:val="17"/>
        </w:numPr>
        <w:suppressLineNumbers w:val="0"/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4EAD274" w:rsidR="4563078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Senator Ward raised concerns about communication between the </w:t>
      </w:r>
      <w:r w:rsidRPr="54EAD274" w:rsidR="2020B3F4">
        <w:rPr>
          <w:rFonts w:ascii="Garamond" w:hAnsi="Garamond" w:eastAsia="Garamond" w:cs="Garamond"/>
          <w:noProof w:val="0"/>
          <w:sz w:val="24"/>
          <w:szCs w:val="24"/>
          <w:lang w:val="en-US"/>
        </w:rPr>
        <w:t>CSU B</w:t>
      </w:r>
      <w:r w:rsidRPr="54EAD274" w:rsidR="45630789">
        <w:rPr>
          <w:rFonts w:ascii="Garamond" w:hAnsi="Garamond" w:eastAsia="Garamond" w:cs="Garamond"/>
          <w:noProof w:val="0"/>
          <w:sz w:val="24"/>
          <w:szCs w:val="24"/>
          <w:lang w:val="en-US"/>
        </w:rPr>
        <w:t>oard</w:t>
      </w:r>
      <w:r w:rsidRPr="54EAD274" w:rsidR="715B275E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of Trustees</w:t>
      </w:r>
      <w:r w:rsidRPr="54EAD274" w:rsidR="4563078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and the </w:t>
      </w:r>
      <w:r w:rsidRPr="54EAD274" w:rsidR="48F410F6">
        <w:rPr>
          <w:rFonts w:ascii="Garamond" w:hAnsi="Garamond" w:eastAsia="Garamond" w:cs="Garamond"/>
          <w:noProof w:val="0"/>
          <w:sz w:val="24"/>
          <w:szCs w:val="24"/>
          <w:lang w:val="en-US"/>
        </w:rPr>
        <w:t>c</w:t>
      </w:r>
      <w:r w:rsidRPr="54EAD274" w:rsidR="45630789">
        <w:rPr>
          <w:rFonts w:ascii="Garamond" w:hAnsi="Garamond" w:eastAsia="Garamond" w:cs="Garamond"/>
          <w:noProof w:val="0"/>
          <w:sz w:val="24"/>
          <w:szCs w:val="24"/>
          <w:lang w:val="en-US"/>
        </w:rPr>
        <w:t>ommittee, specifically about understanding the administration's strategies. The committee discussed the role of faculty input in decision-making processes and referenced studies supporting faculty involvement in educational planning.</w:t>
      </w:r>
    </w:p>
    <w:p w:rsidR="71EAF6A0" w:rsidP="54EAD274" w:rsidRDefault="71EAF6A0" w14:paraId="4FEF82AE" w14:textId="20B12930">
      <w:pPr>
        <w:pStyle w:val="ListParagraph"/>
        <w:numPr>
          <w:ilvl w:val="0"/>
          <w:numId w:val="17"/>
        </w:numPr>
        <w:suppressLineNumbers w:val="0"/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B9F49F2" w:rsidR="4563078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The committee proposed preparing documents, including case studies and research summaries, to present at the next board meeting. The documents would emphasize the benefits of faculty engagement in institutional decision-making. Preparation of this material is planned to begin </w:t>
      </w:r>
      <w:r w:rsidRPr="5B9F49F2" w:rsidR="45630789">
        <w:rPr>
          <w:rFonts w:ascii="Garamond" w:hAnsi="Garamond" w:eastAsia="Garamond" w:cs="Garamond"/>
          <w:noProof w:val="0"/>
          <w:sz w:val="24"/>
          <w:szCs w:val="24"/>
          <w:lang w:val="en-US"/>
        </w:rPr>
        <w:t>immediately</w:t>
      </w:r>
      <w:r w:rsidRPr="5B9F49F2" w:rsidR="45630789">
        <w:rPr>
          <w:rFonts w:ascii="Garamond" w:hAnsi="Garamond" w:eastAsia="Garamond" w:cs="Garamond"/>
          <w:noProof w:val="0"/>
          <w:sz w:val="24"/>
          <w:szCs w:val="24"/>
          <w:lang w:val="en-US"/>
        </w:rPr>
        <w:t>.</w:t>
      </w:r>
    </w:p>
    <w:p w:rsidR="1EF62AFB" w:rsidP="20F3C10A" w:rsidRDefault="1EF62AFB" w14:paraId="3FAEF4AD" w14:textId="178340E5">
      <w:pPr>
        <w:pStyle w:val="ListParagraph"/>
        <w:numPr>
          <w:ilvl w:val="0"/>
          <w:numId w:val="17"/>
        </w:numPr>
        <w:suppressLineNumbers w:val="0"/>
        <w:spacing w:before="0" w:beforeAutospacing="off" w:after="0" w:afterAutospacing="off" w:line="279" w:lineRule="auto"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B9F49F2" w:rsidR="1EF62AFB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Senate Executive Committe facilitating a letter-writing campaign / offering opportunities to crowdsource statements, coordinate messaging. </w:t>
      </w:r>
    </w:p>
    <w:p w:rsidR="71EAF6A0" w:rsidP="54EAD274" w:rsidRDefault="71EAF6A0" w14:paraId="1812B282" w14:textId="478020D3">
      <w:pPr>
        <w:suppressLineNumbers w:val="0"/>
        <w:spacing w:before="0" w:beforeAutospacing="off" w:after="160" w:afterAutospacing="off" w:line="279" w:lineRule="auto"/>
        <w:ind/>
      </w:pPr>
    </w:p>
    <w:p w:rsidR="71EAF6A0" w:rsidP="54EAD274" w:rsidRDefault="71EAF6A0" w14:paraId="1C31FB26" w14:textId="506291E6">
      <w:pPr>
        <w:pStyle w:val="Heading3"/>
        <w:spacing w:before="281" w:beforeAutospacing="off" w:after="281" w:afterAutospacing="off"/>
        <w:rPr>
          <w:rFonts w:ascii="Garamond" w:hAnsi="Garamond" w:eastAsia="Garamond" w:cs="Garamond"/>
          <w:b w:val="1"/>
          <w:bCs w:val="1"/>
          <w:noProof w:val="0"/>
          <w:color w:val="auto"/>
          <w:sz w:val="24"/>
          <w:szCs w:val="24"/>
          <w:lang w:val="en-US"/>
        </w:rPr>
      </w:pPr>
      <w:r w:rsidRPr="54EAD274" w:rsidR="45630789">
        <w:rPr>
          <w:rFonts w:ascii="Garamond" w:hAnsi="Garamond" w:eastAsia="Garamond" w:cs="Garamond"/>
          <w:b w:val="1"/>
          <w:bCs w:val="1"/>
          <w:noProof w:val="0"/>
          <w:color w:val="auto"/>
          <w:sz w:val="24"/>
          <w:szCs w:val="24"/>
          <w:lang w:val="en-US"/>
        </w:rPr>
        <w:t>Preparation for Future Engagements</w:t>
      </w:r>
    </w:p>
    <w:p w:rsidR="71EAF6A0" w:rsidP="54EAD274" w:rsidRDefault="71EAF6A0" w14:paraId="7E6A75AE" w14:textId="77AD1101">
      <w:pPr>
        <w:pStyle w:val="ListParagraph"/>
        <w:numPr>
          <w:ilvl w:val="0"/>
          <w:numId w:val="14"/>
        </w:numPr>
        <w:suppressLineNumbers w:val="0"/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4EAD274" w:rsidR="45630789">
        <w:rPr>
          <w:rFonts w:ascii="Garamond" w:hAnsi="Garamond" w:eastAsia="Garamond" w:cs="Garamond"/>
          <w:noProof w:val="0"/>
          <w:sz w:val="24"/>
          <w:szCs w:val="24"/>
          <w:lang w:val="en-US"/>
        </w:rPr>
        <w:t>The committee plans to prepare documents to support increased faculty involvement in decision-making processes, with evidence-based arguments for presentation at future board meetings.</w:t>
      </w:r>
    </w:p>
    <w:p w:rsidR="71EAF6A0" w:rsidP="54EAD274" w:rsidRDefault="71EAF6A0" w14:paraId="0877C7E7" w14:textId="131D3BD0">
      <w:pPr>
        <w:pStyle w:val="ListParagraph"/>
        <w:numPr>
          <w:ilvl w:val="0"/>
          <w:numId w:val="14"/>
        </w:numPr>
        <w:suppressLineNumbers w:val="0"/>
        <w:spacing w:before="0" w:beforeAutospacing="off" w:after="0" w:afterAutospacing="off" w:line="279" w:lineRule="auto"/>
        <w:ind/>
        <w:rPr>
          <w:rFonts w:ascii="Garamond" w:hAnsi="Garamond" w:eastAsia="Garamond" w:cs="Garamond"/>
          <w:noProof w:val="0"/>
          <w:sz w:val="24"/>
          <w:szCs w:val="24"/>
          <w:lang w:val="en-US"/>
        </w:rPr>
      </w:pPr>
      <w:r w:rsidRPr="54EAD274" w:rsidR="4563078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Guidelines for document sharing and meeting preparation will be developed. A follow-up session will be scheduled to </w:t>
      </w:r>
      <w:r w:rsidRPr="54EAD274" w:rsidR="45630789">
        <w:rPr>
          <w:rFonts w:ascii="Garamond" w:hAnsi="Garamond" w:eastAsia="Garamond" w:cs="Garamond"/>
          <w:noProof w:val="0"/>
          <w:sz w:val="24"/>
          <w:szCs w:val="24"/>
          <w:lang w:val="en-US"/>
        </w:rPr>
        <w:t>finalize</w:t>
      </w:r>
      <w:r w:rsidRPr="54EAD274" w:rsidR="45630789">
        <w:rPr>
          <w:rFonts w:ascii="Garamond" w:hAnsi="Garamond" w:eastAsia="Garamond" w:cs="Garamond"/>
          <w:noProof w:val="0"/>
          <w:sz w:val="24"/>
          <w:szCs w:val="24"/>
          <w:lang w:val="en-US"/>
        </w:rPr>
        <w:t xml:space="preserve"> these guidelines.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4">
    <w:nsid w:val="7f6c55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03c6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3aa8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3235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ed54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eff4d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e638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09b53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e5fe5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68ea1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efef2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69941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f8bbe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35c9d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c42ca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b0eb4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3f97e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f618a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5edf7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176a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e91d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613d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b88e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396e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4802DA"/>
    <w:rsid w:val="0048FAAD"/>
    <w:rsid w:val="005A3584"/>
    <w:rsid w:val="0060B60D"/>
    <w:rsid w:val="030438A5"/>
    <w:rsid w:val="033A10E9"/>
    <w:rsid w:val="039B1DCC"/>
    <w:rsid w:val="03B64B23"/>
    <w:rsid w:val="04B86A65"/>
    <w:rsid w:val="0514CE75"/>
    <w:rsid w:val="05C996F7"/>
    <w:rsid w:val="08D9FE61"/>
    <w:rsid w:val="09E3C755"/>
    <w:rsid w:val="0C4CE31F"/>
    <w:rsid w:val="0E1A5971"/>
    <w:rsid w:val="0E6BA98D"/>
    <w:rsid w:val="105F1E77"/>
    <w:rsid w:val="1065D405"/>
    <w:rsid w:val="10CBE7E9"/>
    <w:rsid w:val="10D08F0E"/>
    <w:rsid w:val="118E7727"/>
    <w:rsid w:val="1203306C"/>
    <w:rsid w:val="120C3A1C"/>
    <w:rsid w:val="1267B84A"/>
    <w:rsid w:val="12BC24A3"/>
    <w:rsid w:val="138DCD67"/>
    <w:rsid w:val="13E19A75"/>
    <w:rsid w:val="13FBB590"/>
    <w:rsid w:val="14224A55"/>
    <w:rsid w:val="14354B96"/>
    <w:rsid w:val="145A20B9"/>
    <w:rsid w:val="15328F9A"/>
    <w:rsid w:val="17262558"/>
    <w:rsid w:val="172FF514"/>
    <w:rsid w:val="1762AF70"/>
    <w:rsid w:val="1837F874"/>
    <w:rsid w:val="18FCA3D2"/>
    <w:rsid w:val="1A0600BD"/>
    <w:rsid w:val="1D3994E6"/>
    <w:rsid w:val="1EF62AFB"/>
    <w:rsid w:val="1F8D4DE4"/>
    <w:rsid w:val="2020B3F4"/>
    <w:rsid w:val="20F3C10A"/>
    <w:rsid w:val="2106B803"/>
    <w:rsid w:val="2134262D"/>
    <w:rsid w:val="221112A2"/>
    <w:rsid w:val="2393BAA6"/>
    <w:rsid w:val="23A7373B"/>
    <w:rsid w:val="245C7A5D"/>
    <w:rsid w:val="260802B8"/>
    <w:rsid w:val="26234DFA"/>
    <w:rsid w:val="270967D4"/>
    <w:rsid w:val="2759F7F6"/>
    <w:rsid w:val="27D3FCC6"/>
    <w:rsid w:val="2B5CC846"/>
    <w:rsid w:val="2C61ED15"/>
    <w:rsid w:val="2CD239D3"/>
    <w:rsid w:val="2D5ECB62"/>
    <w:rsid w:val="2DAF53E4"/>
    <w:rsid w:val="2E08859A"/>
    <w:rsid w:val="2FD21DC6"/>
    <w:rsid w:val="32FDA427"/>
    <w:rsid w:val="34A942F7"/>
    <w:rsid w:val="353DCE84"/>
    <w:rsid w:val="36EA87AF"/>
    <w:rsid w:val="37DD2FAB"/>
    <w:rsid w:val="38D6F14B"/>
    <w:rsid w:val="39674E84"/>
    <w:rsid w:val="39C7F1EC"/>
    <w:rsid w:val="3F2783E2"/>
    <w:rsid w:val="416AE994"/>
    <w:rsid w:val="4228FFAD"/>
    <w:rsid w:val="438D4EFA"/>
    <w:rsid w:val="440BB7BF"/>
    <w:rsid w:val="44EB511C"/>
    <w:rsid w:val="44EF8CC8"/>
    <w:rsid w:val="451A7ADA"/>
    <w:rsid w:val="45630789"/>
    <w:rsid w:val="46C44C86"/>
    <w:rsid w:val="4846F48A"/>
    <w:rsid w:val="48F410F6"/>
    <w:rsid w:val="490B8635"/>
    <w:rsid w:val="4BC04AB8"/>
    <w:rsid w:val="4E3080AE"/>
    <w:rsid w:val="4F5A85D1"/>
    <w:rsid w:val="50A65EE6"/>
    <w:rsid w:val="5292DEC0"/>
    <w:rsid w:val="52EAAB60"/>
    <w:rsid w:val="53786719"/>
    <w:rsid w:val="54B8AE20"/>
    <w:rsid w:val="54D1D67D"/>
    <w:rsid w:val="54EAD274"/>
    <w:rsid w:val="5556D05E"/>
    <w:rsid w:val="559348B6"/>
    <w:rsid w:val="563262E2"/>
    <w:rsid w:val="572F1917"/>
    <w:rsid w:val="5780459B"/>
    <w:rsid w:val="57F04EE2"/>
    <w:rsid w:val="581836C7"/>
    <w:rsid w:val="59707550"/>
    <w:rsid w:val="59B40728"/>
    <w:rsid w:val="5AE8B16F"/>
    <w:rsid w:val="5B4FD789"/>
    <w:rsid w:val="5B9F49F2"/>
    <w:rsid w:val="5D757D58"/>
    <w:rsid w:val="5E0E2EC7"/>
    <w:rsid w:val="5E56209C"/>
    <w:rsid w:val="640D9C1F"/>
    <w:rsid w:val="654388E2"/>
    <w:rsid w:val="65A96C80"/>
    <w:rsid w:val="660D8C42"/>
    <w:rsid w:val="66516C03"/>
    <w:rsid w:val="66EFF9CC"/>
    <w:rsid w:val="69E60B0C"/>
    <w:rsid w:val="69F0EF1A"/>
    <w:rsid w:val="6ED0D184"/>
    <w:rsid w:val="6F697723"/>
    <w:rsid w:val="70C53CE8"/>
    <w:rsid w:val="715B275E"/>
    <w:rsid w:val="71EAF6A0"/>
    <w:rsid w:val="728FDD0E"/>
    <w:rsid w:val="73D4CAB1"/>
    <w:rsid w:val="7460800A"/>
    <w:rsid w:val="764802DA"/>
    <w:rsid w:val="79AC56FF"/>
    <w:rsid w:val="7BF60344"/>
    <w:rsid w:val="7CA388C6"/>
    <w:rsid w:val="7DD28FB5"/>
    <w:rsid w:val="7E6CF796"/>
    <w:rsid w:val="7EAD2A4B"/>
    <w:rsid w:val="7F7894C5"/>
    <w:rsid w:val="7F98F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02DA"/>
  <w15:chartTrackingRefBased/>
  <w15:docId w15:val="{639EBDDF-8BBD-454B-B3D0-92E9D6417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2b82dfad9e9c4387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ab71095d015142e9" /><Relationship Type="http://schemas.microsoft.com/office/2011/relationships/commentsExtended" Target="commentsExtended.xml" Id="R20bc778cf0f94c52" /><Relationship Type="http://schemas.microsoft.com/office/2016/09/relationships/commentsIds" Target="commentsIds.xml" Id="Rab86b2f6226f44d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0EF8F0CCB4044B1E774BFE30F4002" ma:contentTypeVersion="16" ma:contentTypeDescription="Create a new document." ma:contentTypeScope="" ma:versionID="f4c2c2d1ed98150e4bb6ab993b7a2e03">
  <xsd:schema xmlns:xsd="http://www.w3.org/2001/XMLSchema" xmlns:xs="http://www.w3.org/2001/XMLSchema" xmlns:p="http://schemas.microsoft.com/office/2006/metadata/properties" xmlns:ns2="3c1e4412-8f7b-480e-afdf-f947a0ddc23a" xmlns:ns3="bab33986-5b83-4661-bf66-e81fd3c0b5b4" targetNamespace="http://schemas.microsoft.com/office/2006/metadata/properties" ma:root="true" ma:fieldsID="6199d0a575189236dc40d290236d3c8b" ns2:_="" ns3:_="">
    <xsd:import namespace="3c1e4412-8f7b-480e-afdf-f947a0ddc23a"/>
    <xsd:import namespace="bab33986-5b83-4661-bf66-e81fd3c0b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4412-8f7b-480e-afdf-f947a0ddc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33986-5b83-4661-bf66-e81fd3c0b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da8473-2f29-4b18-8d4a-495dc1d79f7a}" ma:internalName="TaxCatchAll" ma:showField="CatchAllData" ma:web="bab33986-5b83-4661-bf66-e81fd3c0b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b33986-5b83-4661-bf66-e81fd3c0b5b4">
      <UserInfo>
        <DisplayName/>
        <AccountId xsi:nil="true"/>
        <AccountType/>
      </UserInfo>
    </SharedWithUsers>
    <lcf76f155ced4ddcb4097134ff3c332f xmlns="3c1e4412-8f7b-480e-afdf-f947a0ddc23a">
      <Terms xmlns="http://schemas.microsoft.com/office/infopath/2007/PartnerControls"/>
    </lcf76f155ced4ddcb4097134ff3c332f>
    <TaxCatchAll xmlns="bab33986-5b83-4661-bf66-e81fd3c0b5b4" xsi:nil="true"/>
  </documentManagement>
</p:properties>
</file>

<file path=customXml/itemProps1.xml><?xml version="1.0" encoding="utf-8"?>
<ds:datastoreItem xmlns:ds="http://schemas.openxmlformats.org/officeDocument/2006/customXml" ds:itemID="{967ED6A3-64A4-4DD7-B241-651DD6FCFB9B}"/>
</file>

<file path=customXml/itemProps2.xml><?xml version="1.0" encoding="utf-8"?>
<ds:datastoreItem xmlns:ds="http://schemas.openxmlformats.org/officeDocument/2006/customXml" ds:itemID="{32174C54-0DD6-4799-8BD9-D8D90D20CE79}"/>
</file>

<file path=customXml/itemProps3.xml><?xml version="1.0" encoding="utf-8"?>
<ds:datastoreItem xmlns:ds="http://schemas.openxmlformats.org/officeDocument/2006/customXml" ds:itemID="{F55356C7-3567-4063-85A1-6CEE6BE22A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Setniker, Ariel</dc:creator>
  <cp:keywords/>
  <dc:description/>
  <cp:lastModifiedBy>Setniker, Ariel</cp:lastModifiedBy>
  <dcterms:created xsi:type="dcterms:W3CDTF">2024-04-23T18:00:25Z</dcterms:created>
  <dcterms:modified xsi:type="dcterms:W3CDTF">2024-11-13T22:36:09Z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0x01010005F0EF8F0CCB4044B1E774BFE30F4002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